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威海市人民政府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政府信息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10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现公布威海市人民政府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2024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年政府信息公开工作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报告。</w:t>
      </w:r>
    </w:p>
    <w:p>
      <w:pPr>
        <w:pStyle w:val="10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2024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日止。报告电子版可从威海市人民政府门户网站（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http://www.weihai.gov.cn/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查阅或下载。公众如需进一步咨询了解相关信息，请与威海市人民政府办公室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政务公开科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联系（地址：威海市环翠区新威路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号，电话：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0631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5218070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10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一、总体情况</w:t>
      </w:r>
    </w:p>
    <w:p>
      <w:pPr>
        <w:pStyle w:val="10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2024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年，</w:t>
      </w:r>
      <w:r>
        <w:rPr>
          <w:rFonts w:hint="eastAsia" w:eastAsia="仿宋_GB2312" w:cs="仿宋_GB2312"/>
          <w:color w:val="auto"/>
          <w:sz w:val="32"/>
          <w:szCs w:val="32"/>
          <w:lang w:val="en-US" w:eastAsia="zh-CN"/>
        </w:rPr>
        <w:t>威海市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深入贯彻中央、省关于做好新时代政务公开工作的部署要求</w:t>
      </w:r>
      <w:r>
        <w:rPr>
          <w:rFonts w:hint="eastAsia" w:ascii="仿宋_GB2312" w:eastAsia="仿宋_GB2312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紧紧围绕市委、市政府中心工作，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牢固树立以人民为中心的发展理念，着力解决人民群众急难愁盼问题，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推动政务公开各项工作提质增效</w:t>
      </w:r>
      <w:r>
        <w:rPr>
          <w:rFonts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Style w:val="15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Style w:val="15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一）</w:t>
      </w:r>
      <w:r>
        <w:rPr>
          <w:rStyle w:val="15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主动公开。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全市共主动公开政府信息15.8万条，发布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市政府规章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、行政规范性文件70件、市政府常务会议16次并全部解读，多形式开展政民、政企互动，依托政府网站互动交流专题开展意见征集73次、回应网上民声8674条。组织开展“阳光透明·公开入威”政府开放日活动204场，不断提升政府工作服务水平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Style w:val="15"/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（二）依申请公开。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指导全市各行政机关充分利用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全市政府信息依申请公开一体化处理平台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功能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规范办理流程，加强部门会商，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最大程度化解矛盾、解决诉求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年，全市共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办理2745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件，同比增长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70.0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从办理结果来看，予以公开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632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件，占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23.0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%；部分公开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295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件，占1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0.7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%；不予公开2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件，占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.7%；无法提供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1352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件，占4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%；不予处理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件，占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%；其他处理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176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件，占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Style w:val="15"/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（三）政府信息管理。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持续深化政策及解读集中统一公开，归集展示政府规章、规范性文件、部门文件和区市文件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等7类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共4000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余件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。在政府门户网站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开设惠企政策专区，收录国家、省、市各领域重点惠企政策246项，按减税降费、金融支持、资金奖补、优化服务等多维度分类，实时查询相关政策依据、执行期限、申报条件、办理流程、咨询服务等信息，切实解决惠企政策“找不到、看不懂”等问题。建立健全信息公开协调机制，指导全市行政机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规范编制主动公开事项目录，逐项明确公开主体、内容、时限、方式、渠道、责任等。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Style w:val="15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Style w:val="15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四）</w:t>
      </w:r>
      <w:r>
        <w:rPr>
          <w:rStyle w:val="15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平台建设。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依托全市大数据“大模型”云平台，在市政府网站搭建知识分类和大语言模型，</w:t>
      </w:r>
      <w:r>
        <w:rPr>
          <w:rFonts w:hint="eastAsia" w:ascii="Times New Roman" w:hAnsi="Times New Roman" w:eastAsia="仿宋_GB2312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通过</w:t>
      </w:r>
      <w:r>
        <w:rPr>
          <w:rFonts w:ascii="Times New Roman" w:hAnsi="Times New Roman" w:eastAsia="仿宋_GB2312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高频政策咨询事项</w:t>
      </w:r>
      <w:r>
        <w:rPr>
          <w:rFonts w:hint="eastAsia" w:ascii="Times New Roman" w:hAnsi="Times New Roman" w:eastAsia="仿宋_GB2312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搜索反馈分析，不断充实完善问询</w:t>
      </w:r>
      <w:r>
        <w:rPr>
          <w:rFonts w:ascii="Times New Roman" w:hAnsi="Times New Roman" w:eastAsia="仿宋_GB2312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知识库，</w:t>
      </w:r>
      <w:r>
        <w:rPr>
          <w:rFonts w:hint="eastAsia" w:ascii="Times New Roman" w:hAnsi="Times New Roman" w:eastAsia="仿宋_GB2312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创建</w:t>
      </w:r>
      <w:r>
        <w:rPr>
          <w:rFonts w:ascii="Times New Roman" w:hAnsi="Times New Roman" w:eastAsia="仿宋_GB2312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政府门户网站政策问答平台，及时主动回应</w:t>
      </w:r>
      <w:r>
        <w:rPr>
          <w:rFonts w:hint="eastAsia" w:ascii="Times New Roman" w:hAnsi="Times New Roman" w:eastAsia="仿宋_GB2312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社会</w:t>
      </w:r>
      <w:r>
        <w:rPr>
          <w:rFonts w:ascii="Times New Roman" w:hAnsi="Times New Roman" w:eastAsia="仿宋_GB2312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关切。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深入开展整治“指尖上的形式主义”，清理整合政务新媒体账号135个，占清理前总数的43%。其中，各区市、开发区共清理账号109个，占清理总数的77%。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 w:cs="仿宋_GB2312"/>
          <w:color w:val="auto"/>
          <w:sz w:val="32"/>
          <w:szCs w:val="32"/>
        </w:rPr>
      </w:pPr>
      <w:r>
        <w:rPr>
          <w:rStyle w:val="15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（五）监督保障。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根据国家、省、市关于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做好新时代政务公开工作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的部署要求，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u w:val="none"/>
          <w:shd w:val="clear" w:color="auto" w:fill="FFFFFF"/>
          <w:lang w:val="en-US" w:eastAsia="zh-CN"/>
        </w:rPr>
        <w:t>编制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shd w:val="clear" w:color="auto" w:fill="FFFFFF"/>
          <w:lang w:val="en-US" w:eastAsia="zh-CN"/>
        </w:rPr>
        <w:t>《2024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u w:val="none"/>
          <w:shd w:val="clear" w:color="auto" w:fill="FFFFFF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shd w:val="clear" w:color="auto" w:fill="FFFFFF"/>
          <w:lang w:val="en-US" w:eastAsia="zh-CN"/>
        </w:rPr>
        <w:t>威海市政务公开重点工作及责任分工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》，明确完成时限，定期督导调度，确保重点工作落实到位。将“重要政策解读率”纳入全市高质量发展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综合绩效考核指标体系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，统筹、精简、高效开展政务公开各项工作，切实减轻基层负担</w:t>
      </w:r>
      <w:r>
        <w:rPr>
          <w:rFonts w:hint="eastAsia" w:ascii="仿宋_GB2312" w:hAnsi="黑体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二、主动公开政府信息情况</w:t>
      </w:r>
    </w:p>
    <w:tbl>
      <w:tblPr>
        <w:tblStyle w:val="13"/>
        <w:tblW w:w="90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8"/>
        <w:gridCol w:w="2147"/>
        <w:gridCol w:w="1768"/>
        <w:gridCol w:w="17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highlight w:val="none"/>
              </w:rPr>
              <w:t>第二十条 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highlight w:val="none"/>
              </w:rPr>
              <w:t>信息内容</w:t>
            </w:r>
          </w:p>
        </w:tc>
        <w:tc>
          <w:tcPr>
            <w:tcW w:w="2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highlight w:val="none"/>
              </w:rPr>
              <w:t>本年制发件数</w:t>
            </w: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highlight w:val="none"/>
              </w:rPr>
              <w:t>本年废止件数</w:t>
            </w:r>
          </w:p>
        </w:tc>
        <w:tc>
          <w:tcPr>
            <w:tcW w:w="1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-8"/>
                <w:kern w:val="0"/>
                <w:sz w:val="24"/>
                <w:highlight w:val="none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规章</w:t>
            </w:r>
          </w:p>
        </w:tc>
        <w:tc>
          <w:tcPr>
            <w:tcW w:w="2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1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规范性文件</w:t>
            </w:r>
          </w:p>
        </w:tc>
        <w:tc>
          <w:tcPr>
            <w:tcW w:w="2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70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80</w:t>
            </w:r>
          </w:p>
        </w:tc>
        <w:tc>
          <w:tcPr>
            <w:tcW w:w="1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603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highlight w:val="none"/>
              </w:rPr>
              <w:t>第二十条 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highlight w:val="none"/>
              </w:rPr>
              <w:t>信息内容</w:t>
            </w:r>
          </w:p>
        </w:tc>
        <w:tc>
          <w:tcPr>
            <w:tcW w:w="5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highlight w:val="none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行政许可</w:t>
            </w:r>
          </w:p>
        </w:tc>
        <w:tc>
          <w:tcPr>
            <w:tcW w:w="56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2396726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highlight w:val="none"/>
              </w:rPr>
              <w:t>第二十条 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highlight w:val="none"/>
              </w:rPr>
              <w:t>信息内容</w:t>
            </w:r>
          </w:p>
        </w:tc>
        <w:tc>
          <w:tcPr>
            <w:tcW w:w="5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highlight w:val="none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行政处罚</w:t>
            </w:r>
          </w:p>
        </w:tc>
        <w:tc>
          <w:tcPr>
            <w:tcW w:w="5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1221957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行政强制</w:t>
            </w:r>
          </w:p>
        </w:tc>
        <w:tc>
          <w:tcPr>
            <w:tcW w:w="56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27538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highlight w:val="none"/>
              </w:rPr>
              <w:t>第二十条 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highlight w:val="none"/>
              </w:rPr>
              <w:t>信息内容</w:t>
            </w:r>
          </w:p>
        </w:tc>
        <w:tc>
          <w:tcPr>
            <w:tcW w:w="5652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行政事业性收费</w:t>
            </w:r>
          </w:p>
        </w:tc>
        <w:tc>
          <w:tcPr>
            <w:tcW w:w="5652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" w:lineRule="atLeas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30227.80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三、收到和处理政府信息公开申请情况</w:t>
      </w:r>
    </w:p>
    <w:tbl>
      <w:tblPr>
        <w:tblStyle w:val="13"/>
        <w:tblW w:w="9326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1418"/>
        <w:gridCol w:w="2976"/>
        <w:gridCol w:w="709"/>
        <w:gridCol w:w="567"/>
        <w:gridCol w:w="567"/>
        <w:gridCol w:w="567"/>
        <w:gridCol w:w="567"/>
        <w:gridCol w:w="593"/>
        <w:gridCol w:w="83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491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（本列数据的勾稽关系为：第一项加第二项之和，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等于第三项加第四项之和）</w:t>
            </w:r>
          </w:p>
        </w:tc>
        <w:tc>
          <w:tcPr>
            <w:tcW w:w="440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491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自然人</w:t>
            </w:r>
          </w:p>
        </w:tc>
        <w:tc>
          <w:tcPr>
            <w:tcW w:w="2861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法人或其他组织</w:t>
            </w:r>
          </w:p>
        </w:tc>
        <w:tc>
          <w:tcPr>
            <w:tcW w:w="83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  <w:jc w:val="center"/>
        </w:trPr>
        <w:tc>
          <w:tcPr>
            <w:tcW w:w="491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06" w:leftChars="-51" w:right="-107" w:rightChars="-51" w:hanging="1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商业企业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07" w:leftChars="-51" w:right="-107" w:rightChars="-51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科研机构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07" w:leftChars="-51" w:right="-107" w:rightChars="-51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社会公益组织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06" w:leftChars="-51" w:right="-107" w:rightChars="-51" w:hanging="1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法律服务机构</w:t>
            </w:r>
          </w:p>
        </w:tc>
        <w:tc>
          <w:tcPr>
            <w:tcW w:w="5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34" w:rightChars="-64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其他</w:t>
            </w:r>
          </w:p>
        </w:tc>
        <w:tc>
          <w:tcPr>
            <w:tcW w:w="83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一、本年新收政府信息公开申请数量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2785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2809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二、上年结转政府信息公开申请数量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39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三、本年度办理结果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（一）予以公开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620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632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（二）部分公开（区分处理的，只计这一情形，不计其他情形）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295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7" w:leftChars="-51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（三）不予公开</w:t>
            </w:r>
          </w:p>
        </w:tc>
        <w:tc>
          <w:tcPr>
            <w:tcW w:w="29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1.属于国家秘密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2.其他法律行政法规禁止公开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3.危及“三安全一稳定”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22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4.保护第三方合法权益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68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5.属于三类内部事务信息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15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6.属于四类过程性信息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7.属于行政执法案卷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12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8.属于行政查询事项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75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7" w:leftChars="-51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（四）无法提供</w:t>
            </w:r>
          </w:p>
        </w:tc>
        <w:tc>
          <w:tcPr>
            <w:tcW w:w="29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1.本机关不掌握相关政府信息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1309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1312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7" w:leftChars="-51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2.没有现成信息需要另行制作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38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7" w:leftChars="-51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3.补正后申请内容仍不明确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7" w:leftChars="-51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（五）不予处理</w:t>
            </w:r>
          </w:p>
        </w:tc>
        <w:tc>
          <w:tcPr>
            <w:tcW w:w="29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1.信访举报投诉类申请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27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2.重复申请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3.要求提供公开出版物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4.无正当理由大量反复申请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5.要求行政机关确认或重新出具已获取信息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7" w:leftChars="-51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（六）其他处理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1" w:leftChars="48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1.申请人无正当理由逾期不补正、行政机关不再处理其政府信息公开申请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46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46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1" w:leftChars="48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2.申请人逾期未按收费通知要求缴纳费用、行政机关不再处理其政府信息公开申请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13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976" w:type="dxa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3.其他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116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117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（七）总计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2721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2745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四、结转下年度继续办理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103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103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四、政府信息公开行政复议、行政诉讼情况</w:t>
      </w:r>
    </w:p>
    <w:tbl>
      <w:tblPr>
        <w:tblStyle w:val="1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9" w:leftChars="-71" w:right="-170" w:rightChars="-81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9" w:leftChars="-71" w:right="-170" w:rightChars="-81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3" w:leftChars="-21" w:right="-132" w:rightChars="-63" w:hanging="1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82" w:leftChars="-39" w:right="-97" w:rightChars="-46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18" w:leftChars="-56" w:right="-118" w:rightChars="-56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18" w:leftChars="-56" w:right="-118" w:rightChars="-56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26" w:rightChars="-6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86" w:leftChars="-41" w:right="-88" w:rightChars="-42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26" w:leftChars="-60" w:right="-136" w:rightChars="-65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26" w:leftChars="-60" w:right="-136" w:rightChars="-65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64" w:leftChars="-78" w:right="-153" w:rightChars="-73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64" w:leftChars="-78" w:right="-153" w:rightChars="-73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99" w:leftChars="-47" w:right="-78" w:rightChars="-3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36" w:leftChars="-65" w:right="-124" w:rightChars="-59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36" w:leftChars="-65" w:right="-124" w:rightChars="-59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73" w:leftChars="-83" w:right="-134" w:rightChars="-64" w:hanging="1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73" w:leftChars="-83" w:right="-134" w:rightChars="-64" w:hanging="1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67" w:leftChars="-33" w:right="-105" w:rightChars="-50" w:hanging="2" w:hangingChars="1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66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49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17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17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149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16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default" w:ascii="Times New Roman" w:hAnsi="Times New Roman" w:eastAsia="仿宋_GB2312" w:cs="Times New Roman"/>
          <w:strike w:val="0"/>
          <w:dstrike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lang w:val="en-US" w:eastAsia="zh-CN" w:bidi="ar"/>
        </w:rPr>
        <w:t>（一）存在问题。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一是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政府文件库功能拓展不足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；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kern w:val="0"/>
          <w:sz w:val="32"/>
          <w:szCs w:val="32"/>
          <w:lang w:val="en-US" w:eastAsia="zh-CN" w:bidi="ar"/>
        </w:rPr>
        <w:t>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kern w:val="0"/>
          <w:sz w:val="32"/>
          <w:szCs w:val="32"/>
          <w:lang w:val="en-US" w:eastAsia="zh-CN" w:bidi="ar"/>
        </w:rPr>
        <w:t>是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kern w:val="0"/>
          <w:sz w:val="32"/>
          <w:szCs w:val="32"/>
          <w:lang w:val="en-US" w:eastAsia="zh-CN" w:bidi="ar"/>
        </w:rPr>
        <w:t>政府信息公开申请智能化办理不足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kern w:val="0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lang w:val="en-US" w:eastAsia="zh-CN" w:bidi="ar"/>
        </w:rPr>
        <w:t>（二）</w:t>
      </w:r>
      <w:r>
        <w:rPr>
          <w:rFonts w:hint="eastAsia" w:ascii="楷体_GB2312" w:hAnsi="楷体_GB2312" w:eastAsia="楷体_GB2312" w:cs="楷体_GB2312"/>
          <w:strike w:val="0"/>
          <w:dstrike w:val="0"/>
          <w:color w:val="auto"/>
          <w:kern w:val="0"/>
          <w:sz w:val="32"/>
          <w:szCs w:val="32"/>
          <w:lang w:val="en-US" w:eastAsia="zh-CN" w:bidi="ar"/>
        </w:rPr>
        <w:t>改进措施。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针对存在的问题，202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年将采取更加积极有效的举措进行整改提升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。一是拓展政府文件库功能应用。通过优化查询分类和文件库页面板块设计，提高文件查询的便捷性。拓展文件服务广度，实现政府文件库在电脑端、移动端、自助终端设备等渠道的全覆盖。加强主题场景专题政策库建设，着力解决群众“找不到、看不懂、不会办、问不清、反馈不了”等情况。二是推进依申请公开办理规范智能。依托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现有依申请公开一体化平台，探索建立集分类归集、智能筛选等多种功能的依申请公开案例库，逐步实现依申请公开办理智能化。针对个别律所滥用诉权行为，积极与各级法院对接，强化“府院联动”，探索从源头解决问题的新路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政府信息公开收费方面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根据《政府信息公开信息处理费管理办法》（国办函〔2020〕109号）规定，2024年全市共收取信息公开处理费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0.08万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元。</w:t>
      </w:r>
    </w:p>
    <w:p>
      <w:pPr>
        <w:pStyle w:val="10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人大代表、政协委员提案办理方面</w:t>
      </w:r>
    </w:p>
    <w:p>
      <w:pPr>
        <w:pStyle w:val="10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4年，政府系统共承办代表建议116件，经有关部门认真研究办理，目前已全部办结并答复代表，办复率100%。其中，办理结果为A类（所提问题已解决或基本解决）112件，占比96.5%；办理结果为B类（所提问题部分解决或列入计划逐步解决）1件，占比0.9%；办理结果为C类（所提问题受客观条件限制暂时难以解决，待时机成熟后予以解决）2件，占比1.7%；办理结果为D类（所提问题留作参考）1件，占比0.9%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>
      <w:pPr>
        <w:pStyle w:val="10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2024年，政府系统共承办政协提案200件，经有关部门认真研究办理，目前已全部办结并答复，办复率100%。其中，办理结果为A类（所提问题已解决或基本解决）的191件，占比95.5%；办理结果为B类（所提问题部分解决或列入计划逐步解决）的7件，占比3.5%；办理结果为C类（所提问题受客观条件限制暂时难以解决，待时机成熟后予以解决）的2件，占比1%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落实上级政务公开工作要点方面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一是统筹保密安全和公开业务管理。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健全信息公开保密审查相关机制，严格保密审查程序，加强已公开信息管理，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定期清理已经不具备实际效用的信息，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组织开展敏感信息的专项整治清理，进一步防范开源信息汇集所造成的泄密风险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二是编制完善主动公开事项目录。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结合我市实际，指导各级、各行业领域自上而下全面梳理现行有效的法律、法规、规章，分领域、分层级编制主动公开事项目录，做到法定公开事项主动公开到位，其他事项审慎主动公开。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三是扎实推进依申请公开答复办理。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指导全市各行政机关充分利用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全市政府信息依申请公开一体化处理平台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功能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规范办理流程，加强部门会商，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最大程度化解矛盾、解决诉求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提升公众对政府信息公开满意度。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（四）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创新工作方面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一是持续推动“高效办成一件事”。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统筹推进“1+7+N”政务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公开专区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shd w:val="clear" w:color="auto" w:fill="FFFFFF"/>
          <w:lang w:val="en-US" w:eastAsia="zh-CN"/>
        </w:rPr>
        <w:t>集成化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布局，选取群众办事需求较高的公积金、医保、社保、就业和人才服务、不动产登记等8大专项领域，高标准一体化打造政务公开和政民互动新业态，逐步打通政策数据共享壁垒，进一步优化政务服务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shd w:val="clear" w:color="auto" w:fill="FFFFFF"/>
          <w:lang w:val="en-US" w:eastAsia="zh-CN"/>
        </w:rPr>
        <w:t>提升行政效能。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shd w:val="clear" w:color="auto" w:fill="FFFFFF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深化公共企事业单位信息公开。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坚持以强化监督、优化服务、保障权益、防范风险为目标，加强对用户用工数量多、公共属性强的公共企事业单位信息公开的监督管理。打造交通运输领域公共企事业单位政务公开品牌，切实解决交通运输行业发展瓶颈问题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推动《山东省威海市交通运输领域政务公开的探索与实践》在《中国政务公开发展报告》中刊发，典型经验在全国推广。</w:t>
      </w:r>
    </w:p>
    <w:p>
      <w:pPr>
        <w:pStyle w:val="10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（五）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其他方面</w:t>
      </w:r>
    </w:p>
    <w:p>
      <w:pPr>
        <w:pStyle w:val="10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lang w:val="en-US" w:eastAsia="zh-CN" w:bidi="ar-SA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清华大学公共管理学院、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国家治理研究院、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计算社会科学与国家治理实验室联合发布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《2024年网上政府创新发展报告》，威海市政府网站位列全国地级市政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府门户网站第四名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lang w:val="en-US" w:eastAsia="zh-CN" w:bidi="ar-SA"/>
        </w:rPr>
        <w:t>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3OTM3ZDBkNmIyMjVlNzY2Y2FjZDU2ZWFmMTA2NmUifQ=="/>
  </w:docVars>
  <w:rsids>
    <w:rsidRoot w:val="443126C5"/>
    <w:rsid w:val="00081979"/>
    <w:rsid w:val="000B2EDD"/>
    <w:rsid w:val="000F56E9"/>
    <w:rsid w:val="0011370E"/>
    <w:rsid w:val="00140694"/>
    <w:rsid w:val="00151810"/>
    <w:rsid w:val="00163D33"/>
    <w:rsid w:val="00164E19"/>
    <w:rsid w:val="00172EAC"/>
    <w:rsid w:val="0018768C"/>
    <w:rsid w:val="001A1653"/>
    <w:rsid w:val="002450A6"/>
    <w:rsid w:val="00267436"/>
    <w:rsid w:val="00452B4D"/>
    <w:rsid w:val="00495C5E"/>
    <w:rsid w:val="004A253E"/>
    <w:rsid w:val="004D40C0"/>
    <w:rsid w:val="004E7865"/>
    <w:rsid w:val="004F0FDC"/>
    <w:rsid w:val="005003C3"/>
    <w:rsid w:val="00517914"/>
    <w:rsid w:val="00547C6C"/>
    <w:rsid w:val="00553EEE"/>
    <w:rsid w:val="00570141"/>
    <w:rsid w:val="005931AD"/>
    <w:rsid w:val="005F18FC"/>
    <w:rsid w:val="00603B5C"/>
    <w:rsid w:val="0062109F"/>
    <w:rsid w:val="00652543"/>
    <w:rsid w:val="006841EE"/>
    <w:rsid w:val="00691115"/>
    <w:rsid w:val="006A1294"/>
    <w:rsid w:val="006B2481"/>
    <w:rsid w:val="00727A99"/>
    <w:rsid w:val="00731AB6"/>
    <w:rsid w:val="007356A6"/>
    <w:rsid w:val="00770E79"/>
    <w:rsid w:val="007D7731"/>
    <w:rsid w:val="00812BE7"/>
    <w:rsid w:val="0087304C"/>
    <w:rsid w:val="008E7556"/>
    <w:rsid w:val="00955E79"/>
    <w:rsid w:val="00956238"/>
    <w:rsid w:val="0096259D"/>
    <w:rsid w:val="009D2D4F"/>
    <w:rsid w:val="009D32D8"/>
    <w:rsid w:val="00A57861"/>
    <w:rsid w:val="00B077EB"/>
    <w:rsid w:val="00B1738D"/>
    <w:rsid w:val="00B232D5"/>
    <w:rsid w:val="00B3353F"/>
    <w:rsid w:val="00BD7DF6"/>
    <w:rsid w:val="00BE39BE"/>
    <w:rsid w:val="00C6293C"/>
    <w:rsid w:val="00D02470"/>
    <w:rsid w:val="00DB173F"/>
    <w:rsid w:val="00DE033E"/>
    <w:rsid w:val="00E575ED"/>
    <w:rsid w:val="00EA31B4"/>
    <w:rsid w:val="00EA746F"/>
    <w:rsid w:val="00F05398"/>
    <w:rsid w:val="00F33827"/>
    <w:rsid w:val="00FF0339"/>
    <w:rsid w:val="016B23E6"/>
    <w:rsid w:val="01971882"/>
    <w:rsid w:val="01C61569"/>
    <w:rsid w:val="0237203D"/>
    <w:rsid w:val="03CB34D2"/>
    <w:rsid w:val="04130301"/>
    <w:rsid w:val="08567EA9"/>
    <w:rsid w:val="0BB420A0"/>
    <w:rsid w:val="0E781F8E"/>
    <w:rsid w:val="110964CB"/>
    <w:rsid w:val="130A1B39"/>
    <w:rsid w:val="147432F6"/>
    <w:rsid w:val="15230255"/>
    <w:rsid w:val="15411855"/>
    <w:rsid w:val="15E05C01"/>
    <w:rsid w:val="15F125AF"/>
    <w:rsid w:val="166578D1"/>
    <w:rsid w:val="16DD4C11"/>
    <w:rsid w:val="17B64D5E"/>
    <w:rsid w:val="17EB423C"/>
    <w:rsid w:val="18986BD5"/>
    <w:rsid w:val="19B354BE"/>
    <w:rsid w:val="1B3B2C29"/>
    <w:rsid w:val="1C4E690A"/>
    <w:rsid w:val="1D814C9E"/>
    <w:rsid w:val="1DEC22AB"/>
    <w:rsid w:val="200A612A"/>
    <w:rsid w:val="23F966A6"/>
    <w:rsid w:val="26F56263"/>
    <w:rsid w:val="291F5947"/>
    <w:rsid w:val="2B1C7CED"/>
    <w:rsid w:val="2BB40671"/>
    <w:rsid w:val="2D3B0C3F"/>
    <w:rsid w:val="2DE27F75"/>
    <w:rsid w:val="2E7E68CD"/>
    <w:rsid w:val="2EA737C2"/>
    <w:rsid w:val="2EE460A2"/>
    <w:rsid w:val="2FBD7F6B"/>
    <w:rsid w:val="327E2B6A"/>
    <w:rsid w:val="370A1A3A"/>
    <w:rsid w:val="37243CF2"/>
    <w:rsid w:val="3BFA0C6E"/>
    <w:rsid w:val="40CA6978"/>
    <w:rsid w:val="430D5439"/>
    <w:rsid w:val="443126C5"/>
    <w:rsid w:val="44B32EED"/>
    <w:rsid w:val="46AB7A97"/>
    <w:rsid w:val="482B265C"/>
    <w:rsid w:val="4F4C658F"/>
    <w:rsid w:val="536818C7"/>
    <w:rsid w:val="550B6426"/>
    <w:rsid w:val="59FD46A1"/>
    <w:rsid w:val="5DA87328"/>
    <w:rsid w:val="5DBD43D1"/>
    <w:rsid w:val="5E8B5A5F"/>
    <w:rsid w:val="616E6F55"/>
    <w:rsid w:val="62497AF7"/>
    <w:rsid w:val="633D51A2"/>
    <w:rsid w:val="64D72BF0"/>
    <w:rsid w:val="696C69FD"/>
    <w:rsid w:val="6A2A60E7"/>
    <w:rsid w:val="6B9247B6"/>
    <w:rsid w:val="6CBC40EB"/>
    <w:rsid w:val="6F1D3098"/>
    <w:rsid w:val="71CC6BF8"/>
    <w:rsid w:val="76CC3269"/>
    <w:rsid w:val="76FBBC97"/>
    <w:rsid w:val="779FD545"/>
    <w:rsid w:val="77B21FEC"/>
    <w:rsid w:val="7A20462D"/>
    <w:rsid w:val="7ACFFA8A"/>
    <w:rsid w:val="7AD9600F"/>
    <w:rsid w:val="AB6F6D29"/>
    <w:rsid w:val="BF3F0A94"/>
    <w:rsid w:val="DFFD0DD6"/>
    <w:rsid w:val="E7FA3C13"/>
    <w:rsid w:val="EAF3611F"/>
    <w:rsid w:val="F2773A3B"/>
    <w:rsid w:val="FDB8F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99"/>
    <w:rPr>
      <w:rFonts w:ascii="仿宋" w:hAnsi="仿宋" w:eastAsia="仿宋" w:cs="仿宋"/>
      <w:b/>
      <w:bCs/>
      <w:color w:val="000000"/>
      <w:sz w:val="28"/>
      <w:szCs w:val="28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Date1"/>
    <w:basedOn w:val="1"/>
    <w:next w:val="1"/>
    <w:qFormat/>
    <w:uiPriority w:val="0"/>
    <w:rPr>
      <w:szCs w:val="20"/>
    </w:rPr>
  </w:style>
  <w:style w:type="paragraph" w:styleId="5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6">
    <w:name w:val="Date"/>
    <w:basedOn w:val="1"/>
    <w:next w:val="1"/>
    <w:link w:val="19"/>
    <w:qFormat/>
    <w:uiPriority w:val="0"/>
    <w:pPr>
      <w:ind w:left="100" w:leftChars="2500"/>
    </w:pPr>
  </w:style>
  <w:style w:type="paragraph" w:styleId="7">
    <w:name w:val="Balloon Text"/>
    <w:basedOn w:val="1"/>
    <w:link w:val="21"/>
    <w:qFormat/>
    <w:uiPriority w:val="0"/>
    <w:rPr>
      <w:sz w:val="18"/>
      <w:szCs w:val="18"/>
    </w:rPr>
  </w:style>
  <w:style w:type="paragraph" w:styleId="8">
    <w:name w:val="footer"/>
    <w:basedOn w:val="1"/>
    <w:next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next w:val="8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3"/>
    <w:qFormat/>
    <w:uiPriority w:val="0"/>
    <w:pPr>
      <w:ind w:firstLine="420" w:firstLineChars="100"/>
    </w:pPr>
  </w:style>
  <w:style w:type="paragraph" w:styleId="12">
    <w:name w:val="Body Text First Indent 2"/>
    <w:basedOn w:val="5"/>
    <w:next w:val="11"/>
    <w:semiHidden/>
    <w:unhideWhenUsed/>
    <w:qFormat/>
    <w:uiPriority w:val="99"/>
    <w:pPr>
      <w:ind w:firstLine="420" w:firstLineChars="200"/>
    </w:pPr>
  </w:style>
  <w:style w:type="character" w:styleId="15">
    <w:name w:val="Strong"/>
    <w:basedOn w:val="14"/>
    <w:qFormat/>
    <w:uiPriority w:val="0"/>
    <w:rPr>
      <w:b/>
    </w:rPr>
  </w:style>
  <w:style w:type="paragraph" w:customStyle="1" w:styleId="16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character" w:customStyle="1" w:styleId="17">
    <w:name w:val="页眉 Char"/>
    <w:basedOn w:val="14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Char"/>
    <w:basedOn w:val="14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日期 Char"/>
    <w:basedOn w:val="14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批注框文本 Char"/>
    <w:basedOn w:val="14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page number"/>
    <w:basedOn w:val="1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3784</Words>
  <Characters>3908</Characters>
  <Lines>90</Lines>
  <Paragraphs>51</Paragraphs>
  <TotalTime>74</TotalTime>
  <ScaleCrop>false</ScaleCrop>
  <LinksUpToDate>false</LinksUpToDate>
  <CharactersWithSpaces>3919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2021-12-04T16:28:00Z</dcterms:created>
  <dc:creator>诗人与熊</dc:creator>
  <cp:lastModifiedBy>user</cp:lastModifiedBy>
  <cp:lastPrinted>2025-03-08T08:57:00Z</cp:lastPrinted>
  <dcterms:modified xsi:type="dcterms:W3CDTF">2026-03-04T08:24:12Z</dcterms:modified>
  <dc:title>威海市人民政府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CFC22E047FB64C4A81FB5471EEBE3DB2</vt:lpwstr>
  </property>
</Properties>
</file>